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CE885" w14:textId="77777777" w:rsidR="00A761AA" w:rsidRPr="00A761AA" w:rsidRDefault="00A761AA" w:rsidP="00A761AA">
      <w:pPr>
        <w:jc w:val="center"/>
        <w:rPr>
          <w:rFonts w:ascii="Times New Roman" w:hAnsi="Times New Roman" w:cs="Times New Roman"/>
        </w:rPr>
      </w:pPr>
      <w:r w:rsidRPr="00A761AA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C72173C" wp14:editId="6FF239C0">
            <wp:extent cx="4211320" cy="763270"/>
            <wp:effectExtent l="0" t="0" r="5080" b="0"/>
            <wp:docPr id="1" name="Picture 1" descr="https://lh6.googleusercontent.com/WqI34qfx1P1FpzyLDdzJbCeLQvGkKLFclhkle2zt05e0PFMLQknoAzgA4RSgSN1mzHQoGC4PsV4mEnq8WBLN0Gw2B7uYBv91QY4adDejUCmjB2PCKS2e-QBHHqknBuFkg7HYqnQ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WqI34qfx1P1FpzyLDdzJbCeLQvGkKLFclhkle2zt05e0PFMLQknoAzgA4RSgSN1mzHQoGC4PsV4mEnq8WBLN0Gw2B7uYBv91QY4adDejUCmjB2PCKS2e-QBHHqknBuFkg7HYqnQ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2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11A33" w14:textId="77777777" w:rsidR="00A761AA" w:rsidRPr="00A761AA" w:rsidRDefault="00A761AA" w:rsidP="00A761AA">
      <w:pPr>
        <w:rPr>
          <w:rFonts w:ascii="Times New Roman" w:eastAsia="Times New Roman" w:hAnsi="Times New Roman" w:cs="Times New Roman"/>
        </w:rPr>
      </w:pPr>
    </w:p>
    <w:p w14:paraId="6226CEDF" w14:textId="77777777" w:rsidR="00A761AA" w:rsidRPr="00A761AA" w:rsidRDefault="00A761AA" w:rsidP="00A761AA">
      <w:pPr>
        <w:spacing w:before="480" w:after="120"/>
        <w:jc w:val="center"/>
        <w:rPr>
          <w:rFonts w:ascii="Times New Roman" w:hAnsi="Times New Roman" w:cs="Times New Roman"/>
        </w:rPr>
      </w:pPr>
      <w:r w:rsidRPr="00A761AA">
        <w:rPr>
          <w:rFonts w:ascii="Arial" w:hAnsi="Arial" w:cs="Arial"/>
          <w:b/>
          <w:bCs/>
          <w:color w:val="000000"/>
          <w:sz w:val="72"/>
          <w:szCs w:val="72"/>
        </w:rPr>
        <w:t>New Stoa Rules Explained</w:t>
      </w:r>
    </w:p>
    <w:p w14:paraId="05DB31A2" w14:textId="67D24D2E" w:rsidR="00A761AA" w:rsidRPr="00A761AA" w:rsidRDefault="00A761AA" w:rsidP="00A761AA">
      <w:pPr>
        <w:jc w:val="center"/>
        <w:rPr>
          <w:rFonts w:ascii="Times New Roman" w:hAnsi="Times New Roman" w:cs="Times New Roman"/>
        </w:rPr>
      </w:pPr>
      <w:r w:rsidRPr="00A761AA">
        <w:rPr>
          <w:rFonts w:ascii="Verdana" w:hAnsi="Verdana" w:cs="Times New Roman"/>
          <w:i/>
          <w:iCs/>
          <w:color w:val="000000"/>
          <w:sz w:val="20"/>
          <w:szCs w:val="20"/>
        </w:rPr>
        <w:t xml:space="preserve">Release date: September </w:t>
      </w:r>
      <w:r w:rsidR="00190A40">
        <w:rPr>
          <w:rFonts w:ascii="Verdana" w:hAnsi="Verdana" w:cs="Times New Roman"/>
          <w:i/>
          <w:iCs/>
          <w:color w:val="000000"/>
          <w:sz w:val="20"/>
          <w:szCs w:val="20"/>
        </w:rPr>
        <w:t>23</w:t>
      </w:r>
      <w:r w:rsidRPr="00A761AA">
        <w:rPr>
          <w:rFonts w:ascii="Verdana" w:hAnsi="Verdana" w:cs="Times New Roman"/>
          <w:i/>
          <w:iCs/>
          <w:color w:val="000000"/>
          <w:sz w:val="20"/>
          <w:szCs w:val="20"/>
        </w:rPr>
        <w:t>, 2019</w:t>
      </w:r>
    </w:p>
    <w:p w14:paraId="450BC78D" w14:textId="77777777" w:rsidR="00A761AA" w:rsidRPr="00A761AA" w:rsidRDefault="00A761AA" w:rsidP="00A761AA">
      <w:pPr>
        <w:rPr>
          <w:rFonts w:ascii="Times New Roman" w:eastAsia="Times New Roman" w:hAnsi="Times New Roman" w:cs="Times New Roman"/>
        </w:rPr>
      </w:pPr>
    </w:p>
    <w:p w14:paraId="6FF352CC" w14:textId="09E7C33E" w:rsidR="00A761AA" w:rsidRPr="00A761AA" w:rsidRDefault="00A761AA" w:rsidP="00A761AA">
      <w:pPr>
        <w:rPr>
          <w:rFonts w:ascii="Times New Roman" w:hAnsi="Times New Roman" w:cs="Times New Roman"/>
        </w:rPr>
      </w:pPr>
      <w:r w:rsidRPr="00A761AA">
        <w:rPr>
          <w:rFonts w:ascii="Arial" w:hAnsi="Arial" w:cs="Arial"/>
          <w:color w:val="000000"/>
          <w:sz w:val="22"/>
          <w:szCs w:val="22"/>
        </w:rPr>
        <w:t>Stoa has tightened up its evidence standards for Season 20 with stricter guidelines in how evidence is quoted</w:t>
      </w:r>
      <w:r w:rsidR="00190A40">
        <w:rPr>
          <w:rFonts w:ascii="Arial" w:hAnsi="Arial" w:cs="Arial"/>
          <w:color w:val="000000"/>
          <w:sz w:val="22"/>
          <w:szCs w:val="22"/>
        </w:rPr>
        <w:t xml:space="preserve"> within Lincoln-Douglas debate</w:t>
      </w:r>
      <w:r w:rsidRPr="00A761AA">
        <w:rPr>
          <w:rFonts w:ascii="Arial" w:hAnsi="Arial" w:cs="Arial"/>
          <w:color w:val="000000"/>
          <w:sz w:val="22"/>
          <w:szCs w:val="22"/>
        </w:rPr>
        <w:t>. Monument Members will be ready.</w:t>
      </w:r>
    </w:p>
    <w:p w14:paraId="64BC4F7F" w14:textId="77777777" w:rsidR="00A761AA" w:rsidRPr="00A761AA" w:rsidRDefault="00A761AA" w:rsidP="00A761AA">
      <w:pPr>
        <w:rPr>
          <w:rFonts w:ascii="Times New Roman" w:eastAsia="Times New Roman" w:hAnsi="Times New Roman" w:cs="Times New Roman"/>
        </w:rPr>
      </w:pPr>
    </w:p>
    <w:p w14:paraId="42F556B1" w14:textId="327B0C27" w:rsidR="00190A40" w:rsidRDefault="00190A40" w:rsidP="00A761A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Traditionally, since LD is “value” debate and not “policy,” citations of support in the form of endnotes or footnotes were adequate for reading a debate case. Cases read more like a research paper than a legal brief, allowing partial readings and paraphrasing. Such reading is no longer allowed in Lincoln-Douglas debate in Stoa. Stricter evidence standards will be required of all LD debaters in future Stoa tournaments. To fully understand the changes for LD debaters, follow these links:</w:t>
      </w:r>
    </w:p>
    <w:p w14:paraId="38592A40" w14:textId="77777777" w:rsidR="00190A40" w:rsidRDefault="00190A40" w:rsidP="00A761AA">
      <w:pPr>
        <w:rPr>
          <w:rFonts w:ascii="Arial" w:hAnsi="Arial" w:cs="Arial"/>
          <w:color w:val="000000"/>
          <w:sz w:val="22"/>
          <w:szCs w:val="22"/>
        </w:rPr>
      </w:pPr>
    </w:p>
    <w:p w14:paraId="7DA751B9" w14:textId="77777777" w:rsidR="00190A40" w:rsidRPr="00190A40" w:rsidRDefault="00190A40" w:rsidP="00190A40">
      <w:pPr>
        <w:rPr>
          <w:rFonts w:ascii="Arial" w:hAnsi="Arial" w:cs="Arial"/>
          <w:color w:val="000000"/>
          <w:sz w:val="22"/>
          <w:szCs w:val="22"/>
        </w:rPr>
      </w:pPr>
      <w:hyperlink r:id="rId6" w:history="1">
        <w:r w:rsidRPr="00190A40">
          <w:rPr>
            <w:rStyle w:val="Hyperlink"/>
            <w:rFonts w:ascii="Arial" w:hAnsi="Arial" w:cs="Arial"/>
            <w:sz w:val="22"/>
            <w:szCs w:val="22"/>
          </w:rPr>
          <w:t>http://stoausa.org/wp-content/uploads/2019/09/Debate-Executive-Summary-2019.pdf</w:t>
        </w:r>
      </w:hyperlink>
    </w:p>
    <w:p w14:paraId="401744F6" w14:textId="77777777" w:rsidR="00190A40" w:rsidRPr="00190A40" w:rsidRDefault="00190A40" w:rsidP="00190A40">
      <w:pPr>
        <w:rPr>
          <w:rFonts w:ascii="Arial" w:hAnsi="Arial" w:cs="Arial"/>
          <w:color w:val="000000"/>
          <w:sz w:val="22"/>
          <w:szCs w:val="22"/>
        </w:rPr>
      </w:pPr>
      <w:hyperlink r:id="rId7" w:history="1">
        <w:r w:rsidRPr="00190A40">
          <w:rPr>
            <w:rStyle w:val="Hyperlink"/>
            <w:rFonts w:ascii="Arial" w:hAnsi="Arial" w:cs="Arial"/>
            <w:sz w:val="22"/>
            <w:szCs w:val="22"/>
          </w:rPr>
          <w:t>http://stoausa.org/wp-content/uploads/2019/09/StoaLincolnDouglasRules2019-20.pdf</w:t>
        </w:r>
      </w:hyperlink>
    </w:p>
    <w:p w14:paraId="2FF4E346" w14:textId="77777777" w:rsidR="00190A40" w:rsidRDefault="00190A40" w:rsidP="00A761AA">
      <w:pPr>
        <w:rPr>
          <w:rFonts w:ascii="Arial" w:hAnsi="Arial" w:cs="Arial"/>
          <w:color w:val="000000"/>
          <w:sz w:val="22"/>
          <w:szCs w:val="22"/>
        </w:rPr>
      </w:pPr>
    </w:p>
    <w:p w14:paraId="17EFF67E" w14:textId="27490D3F" w:rsidR="00A761AA" w:rsidRPr="00A761AA" w:rsidRDefault="00190A40" w:rsidP="00A761A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Bring your attention to the following changes listed in the Executive Summary: </w:t>
      </w:r>
    </w:p>
    <w:p w14:paraId="6BCFFFE9" w14:textId="77777777" w:rsidR="00A761AA" w:rsidRPr="00A761AA" w:rsidRDefault="00A761AA" w:rsidP="00A761AA">
      <w:pPr>
        <w:rPr>
          <w:rFonts w:ascii="Times New Roman" w:eastAsia="Times New Roman" w:hAnsi="Times New Roman" w:cs="Times New Roman"/>
        </w:rPr>
      </w:pPr>
    </w:p>
    <w:p w14:paraId="570FD654" w14:textId="1EAB8472" w:rsidR="00190A40" w:rsidRDefault="00190A40" w:rsidP="00190A40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90A40">
        <w:rPr>
          <w:rFonts w:ascii="Arial" w:hAnsi="Arial" w:cs="Arial"/>
          <w:color w:val="000000"/>
          <w:sz w:val="22"/>
          <w:szCs w:val="22"/>
        </w:rPr>
        <w:t>Section III. F. 2. (b): updated to specify what consti</w:t>
      </w:r>
      <w:r>
        <w:rPr>
          <w:rFonts w:ascii="Arial" w:hAnsi="Arial" w:cs="Arial"/>
          <w:color w:val="000000"/>
          <w:sz w:val="22"/>
          <w:szCs w:val="22"/>
        </w:rPr>
        <w:t>tutes a full source citation.</w:t>
      </w:r>
    </w:p>
    <w:p w14:paraId="130B7A47" w14:textId="77777777" w:rsidR="00190A40" w:rsidRDefault="00190A40" w:rsidP="00190A40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90A40">
        <w:rPr>
          <w:rFonts w:ascii="Arial" w:hAnsi="Arial" w:cs="Arial"/>
          <w:color w:val="000000"/>
          <w:sz w:val="22"/>
          <w:szCs w:val="22"/>
        </w:rPr>
        <w:t>Section III. F. 2. (c): required debaters to read complete sentences from cut evidence, without omitting any words or phrases (information in parenthes</w:t>
      </w:r>
      <w:r>
        <w:rPr>
          <w:rFonts w:ascii="Arial" w:hAnsi="Arial" w:cs="Arial"/>
          <w:color w:val="000000"/>
          <w:sz w:val="22"/>
          <w:szCs w:val="22"/>
        </w:rPr>
        <w:t>es excepted).</w:t>
      </w:r>
    </w:p>
    <w:p w14:paraId="18CECB6E" w14:textId="77777777" w:rsidR="00190A40" w:rsidRDefault="00190A40" w:rsidP="00190A40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90A40">
        <w:rPr>
          <w:rFonts w:ascii="Arial" w:hAnsi="Arial" w:cs="Arial"/>
          <w:color w:val="000000"/>
          <w:sz w:val="22"/>
          <w:szCs w:val="22"/>
        </w:rPr>
        <w:t>Section III. F. 2. (d): specified that evidence may not be pieced together from nonconti</w:t>
      </w:r>
      <w:r>
        <w:rPr>
          <w:rFonts w:ascii="Arial" w:hAnsi="Arial" w:cs="Arial"/>
          <w:color w:val="000000"/>
          <w:sz w:val="22"/>
          <w:szCs w:val="22"/>
        </w:rPr>
        <w:t>guous sections of an article.</w:t>
      </w:r>
    </w:p>
    <w:p w14:paraId="0BECB1B9" w14:textId="4D1D3D34" w:rsidR="00A761AA" w:rsidRPr="00190A40" w:rsidRDefault="00190A40" w:rsidP="00190A40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90A40">
        <w:rPr>
          <w:rFonts w:ascii="Arial" w:hAnsi="Arial" w:cs="Arial"/>
          <w:color w:val="000000"/>
          <w:sz w:val="22"/>
          <w:szCs w:val="22"/>
        </w:rPr>
        <w:t>Section III. F. 2. (k): clarified that fabrication of information is prohibited.</w:t>
      </w:r>
      <w:r w:rsidR="00A761AA" w:rsidRPr="00190A40">
        <w:rPr>
          <w:rFonts w:ascii="Arial" w:hAnsi="Arial" w:cs="Arial"/>
          <w:color w:val="000000"/>
          <w:sz w:val="22"/>
          <w:szCs w:val="22"/>
        </w:rPr>
        <w:t> </w:t>
      </w:r>
    </w:p>
    <w:p w14:paraId="126ACDFE" w14:textId="77777777" w:rsidR="00A761AA" w:rsidRPr="00A761AA" w:rsidRDefault="00A761AA" w:rsidP="00A761AA">
      <w:pPr>
        <w:rPr>
          <w:rFonts w:ascii="Times New Roman" w:eastAsia="Times New Roman" w:hAnsi="Times New Roman" w:cs="Times New Roman"/>
        </w:rPr>
      </w:pPr>
    </w:p>
    <w:p w14:paraId="50597AF8" w14:textId="418A6FB3" w:rsidR="00A761AA" w:rsidRPr="00A761AA" w:rsidRDefault="00A761AA" w:rsidP="00A761AA">
      <w:pPr>
        <w:rPr>
          <w:rFonts w:ascii="Times New Roman" w:hAnsi="Times New Roman" w:cs="Times New Roman"/>
        </w:rPr>
      </w:pPr>
      <w:r w:rsidRPr="00A761AA">
        <w:rPr>
          <w:rFonts w:ascii="Arial" w:hAnsi="Arial" w:cs="Arial"/>
          <w:color w:val="000000"/>
          <w:sz w:val="22"/>
          <w:szCs w:val="22"/>
        </w:rPr>
        <w:t xml:space="preserve">We at Monument have always had a policy of publishing evidence consistent with the </w:t>
      </w:r>
      <w:r w:rsidR="00190A40">
        <w:rPr>
          <w:rFonts w:ascii="Arial" w:hAnsi="Arial" w:cs="Arial"/>
          <w:color w:val="000000"/>
          <w:sz w:val="22"/>
          <w:szCs w:val="22"/>
        </w:rPr>
        <w:t xml:space="preserve">fourth item, rule (f) above, but the previous items (b, c, and d) were usually cited using footnotes. At Monument, </w:t>
      </w:r>
      <w:r w:rsidRPr="00A761AA">
        <w:rPr>
          <w:rFonts w:ascii="Arial" w:hAnsi="Arial" w:cs="Arial"/>
          <w:color w:val="000000"/>
          <w:sz w:val="22"/>
          <w:szCs w:val="22"/>
        </w:rPr>
        <w:t>we will ensure our evidence complies with</w:t>
      </w:r>
      <w:r w:rsidR="00190A40">
        <w:rPr>
          <w:rFonts w:ascii="Arial" w:hAnsi="Arial" w:cs="Arial"/>
          <w:color w:val="000000"/>
          <w:sz w:val="22"/>
          <w:szCs w:val="22"/>
        </w:rPr>
        <w:t xml:space="preserve"> all the rules above and will start creating “cards” inside our cases and briefs to make sure we follow the new Stoa evidence standards.</w:t>
      </w:r>
    </w:p>
    <w:p w14:paraId="13CF4C92" w14:textId="77777777" w:rsidR="00A761AA" w:rsidRPr="00A761AA" w:rsidRDefault="00A761AA" w:rsidP="00A761AA">
      <w:pPr>
        <w:rPr>
          <w:rFonts w:ascii="Times New Roman" w:eastAsia="Times New Roman" w:hAnsi="Times New Roman" w:cs="Times New Roman"/>
        </w:rPr>
      </w:pPr>
    </w:p>
    <w:p w14:paraId="12B933AA" w14:textId="60DAB608" w:rsidR="00A761AA" w:rsidRPr="00A761AA" w:rsidRDefault="00A761AA" w:rsidP="00A761AA">
      <w:pPr>
        <w:rPr>
          <w:rFonts w:ascii="Times New Roman" w:hAnsi="Times New Roman" w:cs="Times New Roman"/>
        </w:rPr>
      </w:pPr>
      <w:r w:rsidRPr="00A761AA">
        <w:rPr>
          <w:rFonts w:ascii="Arial" w:hAnsi="Arial" w:cs="Arial"/>
          <w:color w:val="000000"/>
          <w:sz w:val="22"/>
          <w:szCs w:val="22"/>
        </w:rPr>
        <w:t xml:space="preserve">Since we just became aware of this rule change, prior to September </w:t>
      </w:r>
      <w:r w:rsidR="00D6529F">
        <w:rPr>
          <w:rFonts w:ascii="Arial" w:hAnsi="Arial" w:cs="Arial"/>
          <w:color w:val="000000"/>
          <w:sz w:val="22"/>
          <w:szCs w:val="22"/>
        </w:rPr>
        <w:t>23</w:t>
      </w:r>
      <w:r w:rsidRPr="00A761AA">
        <w:rPr>
          <w:rFonts w:ascii="Arial" w:hAnsi="Arial" w:cs="Arial"/>
          <w:color w:val="000000"/>
          <w:sz w:val="22"/>
          <w:szCs w:val="22"/>
        </w:rPr>
        <w:t xml:space="preserve"> Monument released </w:t>
      </w:r>
      <w:r w:rsidR="00D6529F">
        <w:rPr>
          <w:rFonts w:ascii="Arial" w:hAnsi="Arial" w:cs="Arial"/>
          <w:color w:val="000000"/>
          <w:sz w:val="22"/>
          <w:szCs w:val="22"/>
        </w:rPr>
        <w:t>one</w:t>
      </w:r>
      <w:r w:rsidR="00EE6EF0">
        <w:rPr>
          <w:rFonts w:ascii="Arial" w:hAnsi="Arial" w:cs="Arial"/>
          <w:color w:val="000000"/>
          <w:sz w:val="22"/>
          <w:szCs w:val="22"/>
        </w:rPr>
        <w:t xml:space="preserve"> case</w:t>
      </w:r>
      <w:r w:rsidRPr="00A761AA">
        <w:rPr>
          <w:rFonts w:ascii="Arial" w:hAnsi="Arial" w:cs="Arial"/>
          <w:color w:val="000000"/>
          <w:sz w:val="22"/>
          <w:szCs w:val="22"/>
        </w:rPr>
        <w:t xml:space="preserve"> that had some evidence outside of the new Stoa rules. </w:t>
      </w:r>
      <w:r w:rsidR="00EE6EF0">
        <w:rPr>
          <w:rFonts w:ascii="Arial" w:hAnsi="Arial" w:cs="Arial"/>
          <w:color w:val="000000"/>
          <w:sz w:val="22"/>
          <w:szCs w:val="22"/>
        </w:rPr>
        <w:t>This case</w:t>
      </w:r>
      <w:r w:rsidRPr="00A761AA">
        <w:rPr>
          <w:rFonts w:ascii="Arial" w:hAnsi="Arial" w:cs="Arial"/>
          <w:color w:val="000000"/>
          <w:sz w:val="22"/>
          <w:szCs w:val="22"/>
        </w:rPr>
        <w:t xml:space="preserve"> ha</w:t>
      </w:r>
      <w:r w:rsidR="00EE6EF0">
        <w:rPr>
          <w:rFonts w:ascii="Arial" w:hAnsi="Arial" w:cs="Arial"/>
          <w:color w:val="000000"/>
          <w:sz w:val="22"/>
          <w:szCs w:val="22"/>
        </w:rPr>
        <w:t>s</w:t>
      </w:r>
      <w:r w:rsidRPr="00A761AA">
        <w:rPr>
          <w:rFonts w:ascii="Arial" w:hAnsi="Arial" w:cs="Arial"/>
          <w:color w:val="000000"/>
          <w:sz w:val="22"/>
          <w:szCs w:val="22"/>
        </w:rPr>
        <w:t xml:space="preserve"> been corrected. Here </w:t>
      </w:r>
      <w:r w:rsidR="00EE6EF0">
        <w:rPr>
          <w:rFonts w:ascii="Arial" w:hAnsi="Arial" w:cs="Arial"/>
          <w:color w:val="000000"/>
          <w:sz w:val="22"/>
          <w:szCs w:val="22"/>
        </w:rPr>
        <w:t>is the link</w:t>
      </w:r>
      <w:r w:rsidRPr="00A761AA">
        <w:rPr>
          <w:rFonts w:ascii="Arial" w:hAnsi="Arial" w:cs="Arial"/>
          <w:color w:val="000000"/>
          <w:sz w:val="22"/>
          <w:szCs w:val="22"/>
        </w:rPr>
        <w:t xml:space="preserve"> for your convenience:</w:t>
      </w:r>
      <w:bookmarkStart w:id="0" w:name="_GoBack"/>
      <w:bookmarkEnd w:id="0"/>
    </w:p>
    <w:p w14:paraId="65FFC431" w14:textId="77777777" w:rsidR="00A761AA" w:rsidRPr="00A761AA" w:rsidRDefault="00A761AA" w:rsidP="00A761AA">
      <w:pPr>
        <w:rPr>
          <w:rFonts w:ascii="Times New Roman" w:eastAsia="Times New Roman" w:hAnsi="Times New Roman" w:cs="Times New Roman"/>
        </w:rPr>
      </w:pPr>
    </w:p>
    <w:p w14:paraId="10EDC948" w14:textId="62BAB252" w:rsidR="00A761AA" w:rsidRPr="00EE6EF0" w:rsidRDefault="00EE6EF0" w:rsidP="00EE6EF0">
      <w:pPr>
        <w:pStyle w:val="ListParagraph"/>
        <w:numPr>
          <w:ilvl w:val="0"/>
          <w:numId w:val="2"/>
        </w:numPr>
        <w:rPr>
          <w:rFonts w:eastAsia="Times New Roman"/>
        </w:rPr>
      </w:pPr>
      <w:hyperlink r:id="rId8" w:history="1">
        <w:r w:rsidRPr="00EE6EF0">
          <w:rPr>
            <w:rStyle w:val="Hyperlink"/>
            <w:rFonts w:eastAsia="Times New Roman"/>
          </w:rPr>
          <w:t>https://monumentmembers.com/stoa-lincoln-douglas-release-07-equality-aff/</w:t>
        </w:r>
      </w:hyperlink>
    </w:p>
    <w:p w14:paraId="0D4F8BA0" w14:textId="77777777" w:rsidR="00A761AA" w:rsidRPr="00A761AA" w:rsidRDefault="00A761AA" w:rsidP="00A761AA">
      <w:pPr>
        <w:rPr>
          <w:rFonts w:ascii="Times New Roman" w:eastAsia="Times New Roman" w:hAnsi="Times New Roman" w:cs="Times New Roman"/>
        </w:rPr>
      </w:pPr>
    </w:p>
    <w:p w14:paraId="3FAC4301" w14:textId="77777777" w:rsidR="00A761AA" w:rsidRPr="00A761AA" w:rsidRDefault="00A761AA" w:rsidP="00A761AA">
      <w:pPr>
        <w:rPr>
          <w:rFonts w:ascii="Times New Roman" w:hAnsi="Times New Roman" w:cs="Times New Roman"/>
        </w:rPr>
      </w:pPr>
      <w:r w:rsidRPr="00A761AA">
        <w:rPr>
          <w:rFonts w:ascii="Arial" w:hAnsi="Arial" w:cs="Arial"/>
          <w:color w:val="000000"/>
          <w:sz w:val="22"/>
          <w:szCs w:val="22"/>
        </w:rPr>
        <w:t>For the rest of Season 20, Monument releases will conform to Stoa’s new standards.</w:t>
      </w:r>
    </w:p>
    <w:p w14:paraId="4E935AF3" w14:textId="77777777" w:rsidR="00A761AA" w:rsidRPr="00A761AA" w:rsidRDefault="00A761AA" w:rsidP="00A761AA">
      <w:pPr>
        <w:rPr>
          <w:rFonts w:ascii="Times New Roman" w:eastAsia="Times New Roman" w:hAnsi="Times New Roman" w:cs="Times New Roman"/>
        </w:rPr>
      </w:pPr>
    </w:p>
    <w:p w14:paraId="0614F11A" w14:textId="77777777" w:rsidR="00D03785" w:rsidRDefault="00EE6EF0"/>
    <w:sectPr w:rsidR="00D03785" w:rsidSect="004C2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525FD"/>
    <w:multiLevelType w:val="multilevel"/>
    <w:tmpl w:val="4594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81DBA"/>
    <w:multiLevelType w:val="multilevel"/>
    <w:tmpl w:val="5B9A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AA"/>
    <w:rsid w:val="00037081"/>
    <w:rsid w:val="000E6C28"/>
    <w:rsid w:val="000F27A8"/>
    <w:rsid w:val="000F557D"/>
    <w:rsid w:val="00113325"/>
    <w:rsid w:val="00141DC8"/>
    <w:rsid w:val="00190A40"/>
    <w:rsid w:val="00200E66"/>
    <w:rsid w:val="00286EFB"/>
    <w:rsid w:val="004C2154"/>
    <w:rsid w:val="005E6BAD"/>
    <w:rsid w:val="0073795B"/>
    <w:rsid w:val="007503A4"/>
    <w:rsid w:val="00867AE4"/>
    <w:rsid w:val="008B6D14"/>
    <w:rsid w:val="009B5E09"/>
    <w:rsid w:val="009D42E2"/>
    <w:rsid w:val="00A11B90"/>
    <w:rsid w:val="00A761AA"/>
    <w:rsid w:val="00AB699F"/>
    <w:rsid w:val="00B27A37"/>
    <w:rsid w:val="00C1045F"/>
    <w:rsid w:val="00C646F5"/>
    <w:rsid w:val="00C82D0D"/>
    <w:rsid w:val="00D13A26"/>
    <w:rsid w:val="00D6529F"/>
    <w:rsid w:val="00D96FCC"/>
    <w:rsid w:val="00DA7103"/>
    <w:rsid w:val="00E52222"/>
    <w:rsid w:val="00EE6EF0"/>
    <w:rsid w:val="00F20733"/>
    <w:rsid w:val="00F9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8EE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1A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761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6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stoausa.org/wp-content/uploads/2019/09/Debate-Executive-Summary-2019.pdf" TargetMode="External"/><Relationship Id="rId7" Type="http://schemas.openxmlformats.org/officeDocument/2006/relationships/hyperlink" Target="http://stoausa.org/wp-content/uploads/2019/09/StoaLincolnDouglasRules2019-20.pdf" TargetMode="External"/><Relationship Id="rId8" Type="http://schemas.openxmlformats.org/officeDocument/2006/relationships/hyperlink" Target="https://monumentmembers.com/stoa-lincoln-douglas-release-07-equality-aff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Jeub</dc:creator>
  <cp:keywords/>
  <dc:description/>
  <cp:lastModifiedBy>Chris Jeub</cp:lastModifiedBy>
  <cp:revision>2</cp:revision>
  <dcterms:created xsi:type="dcterms:W3CDTF">2019-09-23T11:45:00Z</dcterms:created>
  <dcterms:modified xsi:type="dcterms:W3CDTF">2019-09-23T11:45:00Z</dcterms:modified>
</cp:coreProperties>
</file>